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FB6D3">
      <w:pPr>
        <w:widowControl/>
        <w:jc w:val="center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 xml:space="preserve"> 广东医科大学附属医院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雷州医院</w:t>
      </w:r>
    </w:p>
    <w:p w14:paraId="6C4546B8">
      <w:pPr>
        <w:widowControl/>
        <w:jc w:val="center"/>
        <w:rPr>
          <w:rFonts w:hint="eastAsia" w:ascii="宋体" w:hAnsi="宋体" w:eastAsia="宋体" w:cs="宋体"/>
          <w:b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医教研设备（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44"/>
          <w:szCs w:val="44"/>
        </w:rPr>
        <w:t>万元以下）及配套专机专用耗材用户需求</w:t>
      </w:r>
    </w:p>
    <w:tbl>
      <w:tblPr>
        <w:tblStyle w:val="5"/>
        <w:tblW w:w="103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1225"/>
        <w:gridCol w:w="1701"/>
        <w:gridCol w:w="1020"/>
        <w:gridCol w:w="794"/>
        <w:gridCol w:w="1134"/>
        <w:gridCol w:w="1725"/>
        <w:gridCol w:w="1411"/>
        <w:gridCol w:w="6"/>
      </w:tblGrid>
      <w:tr w14:paraId="516B6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11" w:hRule="atLeast"/>
          <w:jc w:val="center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31A5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90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A5D1"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(项目二)全自动凝血分析仪（2台级联）</w:t>
            </w:r>
          </w:p>
        </w:tc>
      </w:tr>
      <w:tr w14:paraId="63425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13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14B2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3B37">
            <w:pPr>
              <w:widowControl/>
              <w:tabs>
                <w:tab w:val="left" w:pos="277"/>
              </w:tabs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B92F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4983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0C24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488">
            <w:pPr>
              <w:widowControl/>
              <w:ind w:firstLine="240" w:firstLineChars="100"/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CB18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AAB6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FBEC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6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8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hanging="11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科室申请理由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6A5FDF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</w:p>
        </w:tc>
      </w:tr>
      <w:tr w14:paraId="1DC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7" w:hRule="atLeast"/>
          <w:jc w:val="center"/>
        </w:trPr>
        <w:tc>
          <w:tcPr>
            <w:tcW w:w="1034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1A1F">
            <w:pPr>
              <w:widowControl/>
              <w:ind w:hanging="10"/>
              <w:jc w:val="left"/>
              <w:rPr>
                <w:rFonts w:hint="eastAsia" w:ascii="Arial" w:hAnsi="Arial" w:eastAsia="宋体" w:cs="Arial"/>
                <w:b/>
                <w:bCs/>
                <w:spacing w:val="-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设备功能要求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、配置、售后服务要求</w:t>
            </w:r>
          </w:p>
        </w:tc>
      </w:tr>
      <w:tr w14:paraId="281E9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963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B5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1.</w:t>
            </w:r>
            <w:bookmarkStart w:id="0" w:name="_GoBack"/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</w:rPr>
              <w:t>设备功能要求及设备参数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  <w:t>：</w:t>
            </w:r>
          </w:p>
          <w:p w14:paraId="63843C8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连接方式：可支持多台单机凝血分析仪连接。最少连接两个模块</w:t>
            </w:r>
          </w:p>
          <w:p w14:paraId="05FF73E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开关机模式：单台凝血分析仪可单独控制开关机。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page"/>
            </w:r>
          </w:p>
          <w:p w14:paraId="7FAE7D8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检测原理：可以对凝血凝固法、发色底物法、免疫比浊法项目进行检测。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</w:p>
          <w:p w14:paraId="336EA115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测试项目：PT、APTT、FIB、TT、D-Dimer、FDP、ATⅢ等。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</w:p>
          <w:p w14:paraId="51CDFE3D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FIB检测方法：支持Clauss法和PT演算法检测FIB;</w:t>
            </w:r>
          </w:p>
          <w:p w14:paraId="25C6E47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△结果解读：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具有对结果实时凝固曲线审核判定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，婴幼儿凝血微量血采血系统。</w:t>
            </w:r>
          </w:p>
          <w:p w14:paraId="6D4B50F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结果审核：具备结果自动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曲线判定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审核功能。</w:t>
            </w:r>
          </w:p>
          <w:p w14:paraId="31F91C4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△最大速度：单机检测速度PT≥450 T/h；D-Dimer≥450 T/h；FDP≥450 T/h；AT III≥450 T/h。</w:t>
            </w:r>
          </w:p>
          <w:p w14:paraId="344BB98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综合速度：单机五项任意组合综合检测速度≥450T/h； </w:t>
            </w:r>
          </w:p>
          <w:p w14:paraId="61579F0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检测通道：单机≥20个检测通道，并且同时适用凝固法、发色底物法、免疫比浊法项目。</w:t>
            </w:r>
          </w:p>
          <w:p w14:paraId="51196BA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样本位：单机样本位≥200个，采用自动进样器连续加载进样。</w:t>
            </w:r>
          </w:p>
          <w:p w14:paraId="3DE6A2B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样本扫描：具有内置条码扫描装置，可以实时扫描样本的条码信息；样本支持随意放入，旋转扫码。</w:t>
            </w:r>
          </w:p>
          <w:p w14:paraId="4B2E861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样本量预检：自定义样本量范围，对样本量进行自动检查。</w:t>
            </w:r>
          </w:p>
          <w:p w14:paraId="0C0A8C9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样本质量核查：对每个样本进行黄疸、溶血、脂血、质量核查 </w:t>
            </w:r>
          </w:p>
          <w:p w14:paraId="60F3184F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试剂位：单机≥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个冷藏试剂腔位，单机≥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个常温试剂腔位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111E66F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△试剂更换：独立的试剂装载区，实时在线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识别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测试数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可设置单一项目多试剂位。</w:t>
            </w:r>
          </w:p>
          <w:p w14:paraId="2EDFD36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试剂卸载：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兼容干粉型和液体型，兼容多种规格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1-20ml。</w:t>
            </w:r>
          </w:p>
          <w:p w14:paraId="0AD8556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试剂识别技术：试剂条码识别，实现使用全流程的溯源管理。</w:t>
            </w:r>
          </w:p>
          <w:p w14:paraId="022BD44B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试剂盘独立制冷，试剂在机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2-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8℃冷藏。</w:t>
            </w:r>
          </w:p>
          <w:p w14:paraId="73FACEA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加样针：单机加样针（包含样本针和试剂针）≥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根；综合针及试剂针具有立体防撞、液面感应以及温度自动补偿功能。</w:t>
            </w:r>
          </w:p>
          <w:p w14:paraId="361BC0A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闭盖穿刺：样本针具有液位感应和优化的闭盖穿刺功能；适应不同真空采血管。</w:t>
            </w:r>
          </w:p>
          <w:p w14:paraId="7D8FF69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急诊检测：独立急诊专用进样通道，急诊响应时间≤30秒。</w:t>
            </w:r>
          </w:p>
          <w:p w14:paraId="2AB08CD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自动复检：独立自动缓存区，支持自动复检； </w:t>
            </w:r>
          </w:p>
          <w:p w14:paraId="57C3A00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反应杯：≥1200个反应杯容量，倾倒式随时加载。</w:t>
            </w:r>
          </w:p>
          <w:p w14:paraId="128EF28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废杯收纳：双层废杯收纳盒，支持不停机倾倒废杯。</w:t>
            </w:r>
          </w:p>
          <w:p w14:paraId="55EAE62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预约开关机：预设时间，自动完成开机及自检，节省时间，提前进入备测状态。</w:t>
            </w:r>
          </w:p>
          <w:p w14:paraId="40E8BE2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△APTT纠正试验：支持APTT纠正实验7步检测全自动化，且满足2h在机自动孵育。</w:t>
            </w:r>
          </w:p>
          <w:p w14:paraId="533F727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声光报警：仪器三色顶灯，可远距离提示仪器状态信息，实现无人值守。</w:t>
            </w:r>
          </w:p>
          <w:p w14:paraId="1C7F02E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废液排放：支持废液直排。</w:t>
            </w:r>
          </w:p>
          <w:p w14:paraId="5BE7D81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质控体系：具有L-J 及Westgard 质控功能。</w:t>
            </w:r>
          </w:p>
          <w:p w14:paraId="71693A6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提篮式进样：样本处理模块可实现提篮式进样，一次可提篮大于等于35个样本。</w:t>
            </w:r>
          </w:p>
          <w:p w14:paraId="4415A5E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拭子清洗：样本针采用拭子式清洗技术。</w:t>
            </w:r>
          </w:p>
          <w:p w14:paraId="158E8A2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内置显示屏：仪器内置显示屏，而非摇臂显示屏或外置显示屏。</w:t>
            </w:r>
          </w:p>
          <w:p w14:paraId="2F2A601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进样类型：轨道式连续进样，具有内置条码扫描装置，可以实时扫描样本的条码信息，样本支持随意放入，旋转扫码。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page"/>
            </w:r>
          </w:p>
          <w:p w14:paraId="2D3342C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常规凝血项目：提供7项（PT、APTT、TT、Fib、FDP、D-Dimer、AT III）液体试剂，按人份试剂注册，宣称多少实测多少。</w:t>
            </w:r>
            <w:bookmarkEnd w:id="0"/>
          </w:p>
        </w:tc>
      </w:tr>
      <w:tr w14:paraId="22802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FE87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配置（清单）：</w:t>
            </w:r>
          </w:p>
          <w:tbl>
            <w:tblPr>
              <w:tblStyle w:val="5"/>
              <w:tblW w:w="892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1"/>
              <w:gridCol w:w="709"/>
              <w:gridCol w:w="3294"/>
              <w:gridCol w:w="1120"/>
              <w:gridCol w:w="800"/>
              <w:gridCol w:w="1600"/>
            </w:tblGrid>
            <w:tr w14:paraId="2DC980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4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E47BFF1"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配置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6AFF871">
                  <w:pPr>
                    <w:widowControl/>
                    <w:jc w:val="center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329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68DFDE7">
                  <w:pPr>
                    <w:widowControl/>
                    <w:jc w:val="center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名称</w:t>
                  </w:r>
                </w:p>
              </w:tc>
              <w:tc>
                <w:tcPr>
                  <w:tcW w:w="112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12EA0AC">
                  <w:pPr>
                    <w:widowControl/>
                    <w:jc w:val="center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单位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3F7D30F">
                  <w:pPr>
                    <w:widowControl/>
                    <w:jc w:val="center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数量</w:t>
                  </w:r>
                </w:p>
              </w:tc>
              <w:tc>
                <w:tcPr>
                  <w:tcW w:w="16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CCE31A4">
                  <w:pPr>
                    <w:widowControl/>
                    <w:jc w:val="center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20"/>
                      <w:szCs w:val="20"/>
                    </w:rPr>
                    <w:t>备注</w:t>
                  </w:r>
                </w:p>
              </w:tc>
            </w:tr>
            <w:tr w14:paraId="2EE30D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  <w:jc w:val="center"/>
              </w:trPr>
              <w:tc>
                <w:tcPr>
                  <w:tcW w:w="140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9F7288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主机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2247A3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95C4F3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标准版分析仪主机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9F056B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1C82E5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2BE8B0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58F2EF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5" w:hRule="atLeast"/>
                <w:jc w:val="center"/>
              </w:trPr>
              <w:tc>
                <w:tcPr>
                  <w:tcW w:w="140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3943D4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电脑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CFD0FD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8056A2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PC i3-10105 8GB 1TB 双网卡  WIN10-LTSC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FA37D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50E3E2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0E3D0E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6E5B13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6" w:hRule="atLeast"/>
                <w:jc w:val="center"/>
              </w:trPr>
              <w:tc>
                <w:tcPr>
                  <w:tcW w:w="140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2B04EA2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SDM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321787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226E12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SDM主机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23B38C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883652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329522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含4个样本托盘</w:t>
                  </w:r>
                </w:p>
              </w:tc>
            </w:tr>
            <w:tr w14:paraId="7124D9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7E2C39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基本附件包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6BB644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17497FB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4平方国标电源线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C365ABB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D0C644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271657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52EC21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A4EDBC7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146A07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00B89F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小型无线键鼠套装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281488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E9B4BD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A7E7A6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142222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762ED36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E206B4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CD6A62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软桶开瓶器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81BA4B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CB5FF42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30E333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462821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2A95B78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558B09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69A1C69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短试管适配器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3F38289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D46288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A7EA1E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EP管适配器</w:t>
                  </w:r>
                </w:p>
              </w:tc>
            </w:tr>
            <w:tr w14:paraId="7EA208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A95BB0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BD59B6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B675BA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袋装凝血反应杯(500个)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1C91C6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47FCFD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68BC90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1袋</w:t>
                  </w:r>
                </w:p>
              </w:tc>
            </w:tr>
            <w:tr w14:paraId="026D2C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C3FEAF2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13D621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28CB55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清洗剂桶盖组件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C3F12E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F5337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A6EC88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3A82CF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9FEF1E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07CF617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8F0BE8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凝血常规试管架组件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BB45DA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3C3A9D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0FFFAC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06D815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FE61C6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111937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1932B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废液直排组件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7A33EC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179719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E02EE9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717593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5E2E7ED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03F9E4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10FAE1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废液桶组件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64BD0A9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E3E8ED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FE30EA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2DE30F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D4AF8B1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992AB42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E0A40F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凝血微量试管架组件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084D10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C50208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D07D5FA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质控专用架</w:t>
                  </w:r>
                </w:p>
              </w:tc>
            </w:tr>
            <w:tr w14:paraId="1117A6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2F26F7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0349D7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16A0FA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SDM与主机连接胶管线材组件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634848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2C1169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1BB239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637545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1D43206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92616B7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4DFC26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外挂管路安装组件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BC7030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592282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E26324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164DFE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CA83E6A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250063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D72CC0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WIRE 三芯国标电源线 10A 250V 1.6米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B8CA25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A601E7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EC2A6E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7AEEAD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56637FB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3B4922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86D49A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离心管(1.5mL)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8F1275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04CBE71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9AC4DA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449170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49113D6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9AE10E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EA27BB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线材固定.尼龙扎线带CHS-4X200mm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D5F2527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AF29BF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9527AF9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46707C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  <w:jc w:val="center"/>
              </w:trPr>
              <w:tc>
                <w:tcPr>
                  <w:tcW w:w="140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00A24C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软件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62633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10517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3806 MRCoagu PC Software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1DA7AD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B1D113B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B7D88A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2225E5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140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818BD55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文件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E3B2510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BB82D4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系列全自动凝血分析仪使用说明书（中文）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313DD7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14757F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AD2747D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27E711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EA8798A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D8A9D84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4ECC93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合格证(通用)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56EB47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BB9EB9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2B1F91F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  <w:tr w14:paraId="3E9A85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  <w:jc w:val="center"/>
              </w:trPr>
              <w:tc>
                <w:tcPr>
                  <w:tcW w:w="140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9E6DC4B"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39407E8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2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060C57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设备保修卡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394A06E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EA(每个)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73EEC1C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6006026">
                  <w:pPr>
                    <w:widowControl/>
                    <w:jc w:val="left"/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000000"/>
                      <w:kern w:val="0"/>
                      <w:sz w:val="16"/>
                      <w:szCs w:val="16"/>
                    </w:rPr>
                    <w:t>　</w:t>
                  </w:r>
                </w:p>
              </w:tc>
            </w:tr>
          </w:tbl>
          <w:p w14:paraId="6BA97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hanging="360"/>
              <w:jc w:val="left"/>
              <w:textAlignment w:val="auto"/>
              <w:rPr>
                <w:rFonts w:hint="eastAsia" w:ascii="微软雅黑" w:hAnsi="微软雅黑" w:eastAsia="微软雅黑" w:cs="微软雅黑"/>
                <w:lang w:val="en-US" w:eastAsia="zh-CN" w:bidi="ar-SA"/>
              </w:rPr>
            </w:pPr>
          </w:p>
        </w:tc>
      </w:tr>
      <w:tr w14:paraId="5C7AD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AF34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3.售后服务要求:</w:t>
            </w:r>
          </w:p>
          <w:p w14:paraId="7CB92749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both"/>
              <w:textAlignment w:val="auto"/>
              <w:rPr>
                <w:rFonts w:hint="eastAsia" w:ascii="宋体" w:hAnsi="宋体" w:eastAsia="宋体" w:cs="宋体"/>
                <w:lang w:bidi="ar-SA"/>
              </w:rPr>
            </w:pPr>
            <w:r>
              <w:rPr>
                <w:rFonts w:hint="eastAsia" w:ascii="宋体" w:hAnsi="宋体" w:eastAsia="宋体" w:cs="宋体"/>
                <w:lang w:bidi="ar-SA"/>
              </w:rPr>
              <w:t>（1）保修期：三年，提供货物终身维修服务。</w:t>
            </w:r>
          </w:p>
          <w:p w14:paraId="4717325C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both"/>
              <w:textAlignment w:val="auto"/>
              <w:rPr>
                <w:rFonts w:hint="eastAsia" w:ascii="宋体" w:hAnsi="宋体" w:eastAsia="宋体" w:cs="宋体"/>
                <w:lang w:bidi="ar-SA"/>
              </w:rPr>
            </w:pPr>
            <w:r>
              <w:rPr>
                <w:rFonts w:hint="eastAsia" w:ascii="宋体" w:hAnsi="宋体" w:eastAsia="宋体" w:cs="宋体"/>
                <w:lang w:bidi="ar-SA"/>
              </w:rPr>
              <w:t>（2）信息化：医疗设备支持并实现与医院信息化系统对接的数据接口；数据采集端口终身免费开放，设备所有信息化端口软、硬件终身免费升级。</w:t>
            </w:r>
          </w:p>
          <w:p w14:paraId="11E5CD6E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both"/>
              <w:textAlignment w:val="auto"/>
              <w:rPr>
                <w:rFonts w:hint="eastAsia" w:ascii="宋体" w:hAnsi="宋体" w:eastAsia="宋体" w:cs="宋体"/>
                <w:lang w:bidi="ar-SA"/>
              </w:rPr>
            </w:pPr>
            <w:r>
              <w:rPr>
                <w:rFonts w:hint="eastAsia" w:ascii="宋体" w:hAnsi="宋体" w:eastAsia="宋体" w:cs="宋体"/>
                <w:lang w:bidi="ar-SA"/>
              </w:rPr>
              <w:t>（3）报修2小时内厂家工程师响应， 24小时到场，48小时内无法维修好须提供备用机。</w:t>
            </w:r>
          </w:p>
          <w:p w14:paraId="359C855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right="0" w:rightChars="0"/>
              <w:jc w:val="both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lang w:bidi="ar-SA"/>
              </w:rPr>
              <w:t>（4）耗材供货期不少于5年及供货价不高于遴选价。</w:t>
            </w:r>
          </w:p>
        </w:tc>
      </w:tr>
    </w:tbl>
    <w:p w14:paraId="11B52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说明：</w:t>
      </w:r>
    </w:p>
    <w:p w14:paraId="23B87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360" w:lineRule="auto"/>
        <w:ind w:firstLine="241" w:firstLineChars="100"/>
        <w:textAlignment w:val="auto"/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1.医用耗材必须在政府采购平台有备案，</w:t>
      </w:r>
      <w:r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  <w:t>并提供交易系统药交耗材ID（尚在办理过程中，不能报名）。</w:t>
      </w:r>
    </w:p>
    <w:p w14:paraId="5A8BA38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2.检验试剂类产品最小计量单位是人份，单价按照人份填写；其它耗材类最小计量单位按照包装规格填写。</w:t>
      </w:r>
    </w:p>
    <w:p w14:paraId="5886B605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ascii="Arial" w:hAnsi="Arial" w:eastAsia="宋体" w:cs="Arial"/>
          <w:kern w:val="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3</w:t>
      </w:r>
      <w:r>
        <w:rPr>
          <w:rFonts w:hint="eastAsia" w:ascii="宋体" w:hAnsi="宋体" w:eastAsia="宋体"/>
          <w:b/>
          <w:color w:val="FF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不同名称的产品，如功能需求也能满足检查或治疗项目需求，厂家或者代理商也能参加咨询遴选会议。</w:t>
      </w:r>
    </w:p>
    <w:p w14:paraId="531A4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8BF67"/>
    <w:multiLevelType w:val="singleLevel"/>
    <w:tmpl w:val="A218BF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4D5384"/>
    <w:multiLevelType w:val="singleLevel"/>
    <w:tmpl w:val="BA4D5384"/>
    <w:lvl w:ilvl="0" w:tentative="0">
      <w:start w:val="1"/>
      <w:numFmt w:val="decimal"/>
      <w:suff w:val="space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65575359"/>
    <w:multiLevelType w:val="singleLevel"/>
    <w:tmpl w:val="655753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00172A27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091F63D7"/>
    <w:rsid w:val="09677855"/>
    <w:rsid w:val="111E04A8"/>
    <w:rsid w:val="141A01C6"/>
    <w:rsid w:val="14304EA8"/>
    <w:rsid w:val="179B7632"/>
    <w:rsid w:val="1C1D13BE"/>
    <w:rsid w:val="283E1A05"/>
    <w:rsid w:val="2FD607DC"/>
    <w:rsid w:val="318C18EE"/>
    <w:rsid w:val="32A40A97"/>
    <w:rsid w:val="367F5C36"/>
    <w:rsid w:val="36E33883"/>
    <w:rsid w:val="3C5B5EF2"/>
    <w:rsid w:val="3EA973DA"/>
    <w:rsid w:val="413D038F"/>
    <w:rsid w:val="42B576C0"/>
    <w:rsid w:val="44D3278A"/>
    <w:rsid w:val="45F10249"/>
    <w:rsid w:val="4AE203C5"/>
    <w:rsid w:val="4EB8451E"/>
    <w:rsid w:val="4F9465BB"/>
    <w:rsid w:val="52B41897"/>
    <w:rsid w:val="538C2B9A"/>
    <w:rsid w:val="594D757C"/>
    <w:rsid w:val="5EA56FD4"/>
    <w:rsid w:val="67B77914"/>
    <w:rsid w:val="681C5653"/>
    <w:rsid w:val="6B77133E"/>
    <w:rsid w:val="6D1E5C65"/>
    <w:rsid w:val="6DC954C8"/>
    <w:rsid w:val="6E027317"/>
    <w:rsid w:val="75BA44A0"/>
    <w:rsid w:val="76D96AC5"/>
    <w:rsid w:val="771718D2"/>
    <w:rsid w:val="7A176C8B"/>
    <w:rsid w:val="7C7E182E"/>
    <w:rsid w:val="7E09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4D7AD8"/>
      <w:u w:val="none"/>
    </w:rPr>
  </w:style>
  <w:style w:type="character" w:styleId="9">
    <w:name w:val="HTML Definition"/>
    <w:basedOn w:val="6"/>
    <w:semiHidden/>
    <w:unhideWhenUsed/>
    <w:qFormat/>
    <w:uiPriority w:val="99"/>
    <w:rPr>
      <w:i/>
      <w:iCs/>
    </w:rPr>
  </w:style>
  <w:style w:type="character" w:styleId="10">
    <w:name w:val="Hyperlink"/>
    <w:basedOn w:val="6"/>
    <w:semiHidden/>
    <w:unhideWhenUsed/>
    <w:qFormat/>
    <w:uiPriority w:val="99"/>
    <w:rPr>
      <w:color w:val="4D7AD8"/>
      <w:u w:val="none"/>
    </w:rPr>
  </w:style>
  <w:style w:type="character" w:styleId="11">
    <w:name w:val="HTML Code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2">
    <w:name w:val="HTML Keyboard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3">
    <w:name w:val="HTML Sample"/>
    <w:basedOn w:val="6"/>
    <w:semiHidden/>
    <w:unhideWhenUsed/>
    <w:qFormat/>
    <w:uiPriority w:val="99"/>
    <w:rPr>
      <w:rFonts w:ascii="Consolas" w:hAnsi="Consolas" w:eastAsia="Consolas" w:cs="Consolas"/>
      <w:sz w:val="21"/>
      <w:szCs w:val="21"/>
      <w:shd w:val="clear" w:fill="2DB7F5"/>
    </w:rPr>
  </w:style>
  <w:style w:type="character" w:customStyle="1" w:styleId="14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wea-dropdown-triangle"/>
    <w:basedOn w:val="6"/>
    <w:qFormat/>
    <w:uiPriority w:val="0"/>
  </w:style>
  <w:style w:type="character" w:customStyle="1" w:styleId="18">
    <w:name w:val="passed-node"/>
    <w:basedOn w:val="6"/>
    <w:qFormat/>
    <w:uiPriority w:val="0"/>
    <w:rPr>
      <w:bdr w:val="single" w:color="49A8D4" w:sz="6" w:space="0"/>
      <w:shd w:val="clear" w:fill="A9E3FF"/>
    </w:rPr>
  </w:style>
  <w:style w:type="character" w:customStyle="1" w:styleId="19">
    <w:name w:val="last-child"/>
    <w:basedOn w:val="6"/>
    <w:qFormat/>
    <w:uiPriority w:val="0"/>
  </w:style>
  <w:style w:type="character" w:customStyle="1" w:styleId="20">
    <w:name w:val="ant-select-tree-checkbox"/>
    <w:basedOn w:val="6"/>
    <w:qFormat/>
    <w:uiPriority w:val="0"/>
  </w:style>
  <w:style w:type="character" w:customStyle="1" w:styleId="21">
    <w:name w:val="ant-select-tree-switcher"/>
    <w:basedOn w:val="6"/>
    <w:qFormat/>
    <w:uiPriority w:val="0"/>
  </w:style>
  <w:style w:type="character" w:customStyle="1" w:styleId="22">
    <w:name w:val="ant-select-tree-iconele"/>
    <w:basedOn w:val="6"/>
    <w:qFormat/>
    <w:uiPriority w:val="0"/>
  </w:style>
  <w:style w:type="character" w:customStyle="1" w:styleId="23">
    <w:name w:val="ant-radio+*"/>
    <w:basedOn w:val="6"/>
    <w:qFormat/>
    <w:uiPriority w:val="0"/>
  </w:style>
  <w:style w:type="character" w:customStyle="1" w:styleId="24">
    <w:name w:val="button"/>
    <w:basedOn w:val="6"/>
    <w:qFormat/>
    <w:uiPriority w:val="0"/>
  </w:style>
  <w:style w:type="character" w:customStyle="1" w:styleId="25">
    <w:name w:val="button1"/>
    <w:basedOn w:val="6"/>
    <w:qFormat/>
    <w:uiPriority w:val="0"/>
  </w:style>
  <w:style w:type="character" w:customStyle="1" w:styleId="26">
    <w:name w:val="current-node"/>
    <w:basedOn w:val="6"/>
    <w:qFormat/>
    <w:uiPriority w:val="0"/>
    <w:rPr>
      <w:bdr w:val="single" w:color="F5B87B" w:sz="6" w:space="0"/>
      <w:shd w:val="clear" w:fill="FFE8CC"/>
    </w:rPr>
  </w:style>
  <w:style w:type="character" w:customStyle="1" w:styleId="27">
    <w:name w:val="ant-tree-checkbox"/>
    <w:basedOn w:val="6"/>
    <w:qFormat/>
    <w:uiPriority w:val="0"/>
  </w:style>
  <w:style w:type="character" w:customStyle="1" w:styleId="28">
    <w:name w:val="ant-table-row-expand-icon4"/>
    <w:basedOn w:val="6"/>
    <w:qFormat/>
    <w:uiPriority w:val="0"/>
    <w:rPr>
      <w:vanish/>
    </w:rPr>
  </w:style>
  <w:style w:type="character" w:customStyle="1" w:styleId="29">
    <w:name w:val="auto-pass-node"/>
    <w:basedOn w:val="6"/>
    <w:qFormat/>
    <w:uiPriority w:val="0"/>
    <w:rPr>
      <w:bdr w:val="single" w:color="DC4446" w:sz="6" w:space="0"/>
      <w:shd w:val="clear" w:fill="A9E2FF"/>
    </w:rPr>
  </w:style>
  <w:style w:type="character" w:customStyle="1" w:styleId="30">
    <w:name w:val="ant-tree-iconele"/>
    <w:basedOn w:val="6"/>
    <w:qFormat/>
    <w:uiPriority w:val="0"/>
  </w:style>
  <w:style w:type="character" w:customStyle="1" w:styleId="31">
    <w:name w:val="ant-tree-switcher10"/>
    <w:basedOn w:val="6"/>
    <w:qFormat/>
    <w:uiPriority w:val="0"/>
  </w:style>
  <w:style w:type="character" w:customStyle="1" w:styleId="32">
    <w:name w:val="not-pass-node"/>
    <w:basedOn w:val="6"/>
    <w:qFormat/>
    <w:uiPriority w:val="0"/>
    <w:rPr>
      <w:bdr w:val="single" w:color="5ABD6B" w:sz="6" w:space="0"/>
      <w:shd w:val="clear" w:fill="BFF3C3"/>
    </w:rPr>
  </w:style>
  <w:style w:type="character" w:customStyle="1" w:styleId="33">
    <w:name w:val="hover42"/>
    <w:basedOn w:val="6"/>
    <w:qFormat/>
    <w:uiPriority w:val="0"/>
    <w:rPr>
      <w:color w:val="009DFF"/>
    </w:rPr>
  </w:style>
  <w:style w:type="character" w:customStyle="1" w:styleId="34">
    <w:name w:val="hover43"/>
    <w:basedOn w:val="6"/>
    <w:qFormat/>
    <w:uiPriority w:val="0"/>
    <w:rPr>
      <w:color w:val="009DFF"/>
    </w:rPr>
  </w:style>
  <w:style w:type="character" w:customStyle="1" w:styleId="35">
    <w:name w:val="wea-thumbnails-doc-content-subtitle"/>
    <w:basedOn w:val="6"/>
    <w:qFormat/>
    <w:uiPriority w:val="0"/>
    <w:rPr>
      <w:color w:val="9A9A9A"/>
    </w:rPr>
  </w:style>
  <w:style w:type="character" w:customStyle="1" w:styleId="36">
    <w:name w:val="first-child2"/>
    <w:basedOn w:val="6"/>
    <w:qFormat/>
    <w:uiPriority w:val="0"/>
    <w:rPr>
      <w:color w:val="999999"/>
      <w:sz w:val="33"/>
      <w:szCs w:val="33"/>
    </w:rPr>
  </w:style>
  <w:style w:type="character" w:customStyle="1" w:styleId="37">
    <w:name w:val="first-child3"/>
    <w:basedOn w:val="6"/>
    <w:qFormat/>
    <w:uiPriority w:val="0"/>
  </w:style>
  <w:style w:type="character" w:customStyle="1" w:styleId="38">
    <w:name w:val="tmpztreemove_arrow"/>
    <w:basedOn w:val="6"/>
    <w:qFormat/>
    <w:uiPriority w:val="0"/>
  </w:style>
  <w:style w:type="character" w:customStyle="1" w:styleId="39">
    <w:name w:val="first-of-type"/>
    <w:basedOn w:val="6"/>
    <w:qFormat/>
    <w:uiPriority w:val="0"/>
    <w:rPr>
      <w:color w:val="FF0000"/>
    </w:rPr>
  </w:style>
  <w:style w:type="character" w:customStyle="1" w:styleId="40">
    <w:name w:val="first-of-type1"/>
    <w:basedOn w:val="6"/>
    <w:qFormat/>
    <w:uiPriority w:val="0"/>
    <w:rPr>
      <w:color w:val="FF0000"/>
    </w:rPr>
  </w:style>
  <w:style w:type="character" w:customStyle="1" w:styleId="41">
    <w:name w:val="first-of-type2"/>
    <w:basedOn w:val="6"/>
    <w:qFormat/>
    <w:uiPriority w:val="0"/>
    <w:rPr>
      <w:color w:val="FF0000"/>
    </w:rPr>
  </w:style>
  <w:style w:type="character" w:customStyle="1" w:styleId="42">
    <w:name w:val="isrevision"/>
    <w:basedOn w:val="6"/>
    <w:qFormat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43">
    <w:name w:val="disabled3"/>
    <w:basedOn w:val="6"/>
    <w:qFormat/>
    <w:uiPriority w:val="0"/>
    <w:rPr>
      <w:color w:val="AAAAAA"/>
      <w:shd w:val="clear" w:fill="F7F7F7"/>
    </w:rPr>
  </w:style>
  <w:style w:type="character" w:customStyle="1" w:styleId="44">
    <w:name w:val="disabled"/>
    <w:basedOn w:val="6"/>
    <w:qFormat/>
    <w:uiPriority w:val="0"/>
    <w:rPr>
      <w:color w:val="AAAAAA"/>
      <w:shd w:val="clear" w:fill="F7F7F7"/>
    </w:rPr>
  </w:style>
  <w:style w:type="character" w:customStyle="1" w:styleId="45">
    <w:name w:val="first-child"/>
    <w:basedOn w:val="6"/>
    <w:qFormat/>
    <w:uiPriority w:val="0"/>
    <w:rPr>
      <w:color w:val="999999"/>
      <w:sz w:val="33"/>
      <w:szCs w:val="33"/>
    </w:rPr>
  </w:style>
  <w:style w:type="character" w:customStyle="1" w:styleId="46">
    <w:name w:val="first-child1"/>
    <w:basedOn w:val="6"/>
    <w:qFormat/>
    <w:uiPriority w:val="0"/>
  </w:style>
  <w:style w:type="character" w:customStyle="1" w:styleId="47">
    <w:name w:val="hover40"/>
    <w:basedOn w:val="6"/>
    <w:qFormat/>
    <w:uiPriority w:val="0"/>
    <w:rPr>
      <w:color w:val="009DFF"/>
    </w:rPr>
  </w:style>
  <w:style w:type="character" w:customStyle="1" w:styleId="48">
    <w:name w:val="hover41"/>
    <w:basedOn w:val="6"/>
    <w:qFormat/>
    <w:uiPriority w:val="0"/>
    <w:rPr>
      <w:color w:val="009DFF"/>
    </w:rPr>
  </w:style>
  <w:style w:type="character" w:customStyle="1" w:styleId="49">
    <w:name w:val="ant-tree-checkbox8"/>
    <w:basedOn w:val="6"/>
    <w:qFormat/>
    <w:uiPriority w:val="0"/>
  </w:style>
  <w:style w:type="character" w:customStyle="1" w:styleId="50">
    <w:name w:val="ant-select-tree-checkbox2"/>
    <w:basedOn w:val="6"/>
    <w:qFormat/>
    <w:uiPriority w:val="0"/>
  </w:style>
  <w:style w:type="character" w:customStyle="1" w:styleId="51">
    <w:name w:val="ant-tree-switcher"/>
    <w:basedOn w:val="6"/>
    <w:qFormat/>
    <w:uiPriority w:val="0"/>
  </w:style>
  <w:style w:type="character" w:customStyle="1" w:styleId="52">
    <w:name w:val="disabled4"/>
    <w:basedOn w:val="6"/>
    <w:qFormat/>
    <w:uiPriority w:val="0"/>
    <w:rPr>
      <w:color w:val="AAAAAA"/>
      <w:shd w:val="clear" w:fill="F7F7F7"/>
    </w:rPr>
  </w:style>
  <w:style w:type="character" w:customStyle="1" w:styleId="53">
    <w:name w:val="wea-dropdown-triangle2"/>
    <w:basedOn w:val="6"/>
    <w:qFormat/>
    <w:uiPriority w:val="0"/>
  </w:style>
  <w:style w:type="character" w:customStyle="1" w:styleId="54">
    <w:name w:val="ant-table-row-expand-icon"/>
    <w:basedOn w:val="6"/>
    <w:qFormat/>
    <w:uiPriority w:val="0"/>
    <w:rPr>
      <w:vanish/>
    </w:rPr>
  </w:style>
  <w:style w:type="character" w:customStyle="1" w:styleId="55">
    <w:name w:val="last-child1"/>
    <w:basedOn w:val="6"/>
    <w:qFormat/>
    <w:uiPriority w:val="0"/>
  </w:style>
  <w:style w:type="character" w:customStyle="1" w:styleId="56">
    <w:name w:val="ant-tree-switcher8"/>
    <w:basedOn w:val="6"/>
    <w:qFormat/>
    <w:uiPriority w:val="0"/>
  </w:style>
  <w:style w:type="character" w:customStyle="1" w:styleId="57">
    <w:name w:val="ant-tree-checkbox5"/>
    <w:basedOn w:val="6"/>
    <w:qFormat/>
    <w:uiPriority w:val="0"/>
  </w:style>
  <w:style w:type="character" w:customStyle="1" w:styleId="58">
    <w:name w:val="ant-tree-checkbox6"/>
    <w:basedOn w:val="6"/>
    <w:qFormat/>
    <w:uiPriority w:val="0"/>
  </w:style>
  <w:style w:type="character" w:customStyle="1" w:styleId="59">
    <w:name w:val="hover37"/>
    <w:basedOn w:val="6"/>
    <w:qFormat/>
    <w:uiPriority w:val="0"/>
    <w:rPr>
      <w:color w:val="009DFF"/>
    </w:rPr>
  </w:style>
  <w:style w:type="character" w:customStyle="1" w:styleId="60">
    <w:name w:val="hover38"/>
    <w:basedOn w:val="6"/>
    <w:qFormat/>
    <w:uiPriority w:val="0"/>
    <w:rPr>
      <w:color w:val="009DFF"/>
    </w:rPr>
  </w:style>
  <w:style w:type="character" w:customStyle="1" w:styleId="61">
    <w:name w:val="ant-tree-checkbox7"/>
    <w:basedOn w:val="6"/>
    <w:qFormat/>
    <w:uiPriority w:val="0"/>
  </w:style>
  <w:style w:type="character" w:customStyle="1" w:styleId="62">
    <w:name w:val="ant-tree-switcher9"/>
    <w:basedOn w:val="6"/>
    <w:qFormat/>
    <w:uiPriority w:val="0"/>
  </w:style>
  <w:style w:type="character" w:customStyle="1" w:styleId="63">
    <w:name w:val="hover33"/>
    <w:basedOn w:val="6"/>
    <w:qFormat/>
    <w:uiPriority w:val="0"/>
    <w:rPr>
      <w:color w:val="009DFF"/>
    </w:rPr>
  </w:style>
  <w:style w:type="character" w:customStyle="1" w:styleId="64">
    <w:name w:val="hover34"/>
    <w:basedOn w:val="6"/>
    <w:qFormat/>
    <w:uiPriority w:val="0"/>
    <w:rPr>
      <w:color w:val="009DFF"/>
    </w:rPr>
  </w:style>
  <w:style w:type="character" w:customStyle="1" w:styleId="65">
    <w:name w:val="ant-table-row-expand-icon3"/>
    <w:basedOn w:val="6"/>
    <w:qFormat/>
    <w:uiPriority w:val="0"/>
    <w:rPr>
      <w:vanish/>
    </w:rPr>
  </w:style>
  <w:style w:type="character" w:customStyle="1" w:styleId="66">
    <w:name w:val="hover35"/>
    <w:basedOn w:val="6"/>
    <w:qFormat/>
    <w:uiPriority w:val="0"/>
    <w:rPr>
      <w:color w:val="009DFF"/>
    </w:rPr>
  </w:style>
  <w:style w:type="character" w:customStyle="1" w:styleId="67">
    <w:name w:val="hover36"/>
    <w:basedOn w:val="6"/>
    <w:qFormat/>
    <w:uiPriority w:val="0"/>
    <w:rPr>
      <w:color w:val="009DFF"/>
    </w:rPr>
  </w:style>
  <w:style w:type="character" w:customStyle="1" w:styleId="68">
    <w:name w:val="hover2"/>
    <w:basedOn w:val="6"/>
    <w:qFormat/>
    <w:uiPriority w:val="0"/>
    <w:rPr>
      <w:color w:val="009DFF"/>
    </w:rPr>
  </w:style>
  <w:style w:type="character" w:customStyle="1" w:styleId="69">
    <w:name w:val="hover3"/>
    <w:basedOn w:val="6"/>
    <w:qFormat/>
    <w:uiPriority w:val="0"/>
    <w:rPr>
      <w:color w:val="009D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2404</Words>
  <Characters>2686</Characters>
  <Lines>3</Lines>
  <Paragraphs>1</Paragraphs>
  <TotalTime>1</TotalTime>
  <ScaleCrop>false</ScaleCrop>
  <LinksUpToDate>false</LinksUpToDate>
  <CharactersWithSpaces>2741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傻瓜</cp:lastModifiedBy>
  <dcterms:modified xsi:type="dcterms:W3CDTF">2025-02-28T03:22:49Z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61BE380B47174C0E8CD79B2E6A16C6DB_13</vt:lpwstr>
  </property>
  <property fmtid="{D5CDD505-2E9C-101B-9397-08002B2CF9AE}" pid="4" name="KSOTemplateDocerSaveRecord">
    <vt:lpwstr>eyJoZGlkIjoiOTYwNDgwMDUwZWVlNmMxZDUyYmE5Y2MyOTBlNjdmOGUiLCJ1c2VySWQiOiIyOTk3OTE0NzYifQ==</vt:lpwstr>
  </property>
</Properties>
</file>